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A787" w14:textId="77777777" w:rsidR="00326F89" w:rsidRPr="00326F89" w:rsidRDefault="00326F89" w:rsidP="00326F89">
      <w:pPr>
        <w:jc w:val="center"/>
        <w:rPr>
          <w:rFonts w:ascii="Times New Roman" w:hAnsi="Times New Roman" w:cs="Times New Roman"/>
          <w:b/>
        </w:rPr>
      </w:pPr>
      <w:r w:rsidRPr="00326F89">
        <w:rPr>
          <w:rFonts w:ascii="Times New Roman" w:hAnsi="Times New Roman" w:cs="Times New Roman"/>
          <w:b/>
        </w:rPr>
        <w:t>DISCLOSURE OF THIRD-PARTY COMPENSATION</w:t>
      </w:r>
    </w:p>
    <w:p w14:paraId="3622AF06" w14:textId="77777777" w:rsidR="00326F89" w:rsidRPr="00326F89" w:rsidRDefault="00326F89" w:rsidP="00326F89">
      <w:pPr>
        <w:jc w:val="both"/>
        <w:rPr>
          <w:rFonts w:ascii="Times New Roman" w:hAnsi="Times New Roman" w:cs="Times New Roman"/>
          <w:sz w:val="24"/>
          <w:szCs w:val="24"/>
        </w:rPr>
      </w:pPr>
      <w:r w:rsidRPr="00326F89">
        <w:rPr>
          <w:rFonts w:ascii="Times New Roman" w:hAnsi="Times New Roman" w:cs="Times New Roman"/>
          <w:sz w:val="24"/>
          <w:szCs w:val="24"/>
        </w:rPr>
        <w:t xml:space="preserve">Pursuant to the Public Pension Fund Reform Code of Conduct, </w:t>
      </w:r>
      <w:r w:rsidR="00A57A2C">
        <w:rPr>
          <w:rFonts w:ascii="Times New Roman" w:hAnsi="Times New Roman" w:cs="Times New Roman"/>
          <w:sz w:val="24"/>
          <w:szCs w:val="24"/>
        </w:rPr>
        <w:t>AlpInvest Partners</w:t>
      </w:r>
      <w:r w:rsidRPr="00326F89">
        <w:rPr>
          <w:rFonts w:ascii="Times New Roman" w:hAnsi="Times New Roman" w:cs="Times New Roman"/>
          <w:sz w:val="24"/>
          <w:szCs w:val="24"/>
        </w:rPr>
        <w:t xml:space="preserve"> is providing the information contained below in satisfaction of the requirement that it disclose to U.S. public pension funds investing in a Carlyle-sponsored investment fund any third-party compensation paid in connection therewith.</w:t>
      </w:r>
    </w:p>
    <w:p w14:paraId="6BA14FDF" w14:textId="77777777" w:rsidR="00326F89" w:rsidRPr="00326F89" w:rsidRDefault="00326F89" w:rsidP="00326F89">
      <w:pPr>
        <w:jc w:val="both"/>
        <w:rPr>
          <w:rFonts w:ascii="Times New Roman" w:hAnsi="Times New Roman" w:cs="Times New Roman"/>
          <w:sz w:val="24"/>
          <w:szCs w:val="24"/>
        </w:rPr>
      </w:pPr>
      <w:r w:rsidRPr="00326F89">
        <w:rPr>
          <w:rFonts w:ascii="Times New Roman" w:hAnsi="Times New Roman" w:cs="Times New Roman"/>
          <w:sz w:val="24"/>
          <w:szCs w:val="24"/>
        </w:rPr>
        <w:t xml:space="preserve">The table below sets forth, on an aggregate, fund-wide basis, the third-party compensation paid by </w:t>
      </w:r>
      <w:r w:rsidR="00A57A2C">
        <w:rPr>
          <w:rFonts w:ascii="Times New Roman" w:hAnsi="Times New Roman" w:cs="Times New Roman"/>
          <w:sz w:val="24"/>
          <w:szCs w:val="24"/>
        </w:rPr>
        <w:t>AlpInvest Partners</w:t>
      </w:r>
      <w:r w:rsidRPr="00326F89">
        <w:rPr>
          <w:rFonts w:ascii="Times New Roman" w:hAnsi="Times New Roman" w:cs="Times New Roman"/>
          <w:sz w:val="24"/>
          <w:szCs w:val="24"/>
        </w:rPr>
        <w:t xml:space="preserve"> since the inception of the investment fund, unless otherwise stated, in connection with the subscription of any U.S. public pension plan to such fund as denoted below. Please note that the fees disclosed represent the full formation costs of the investment funds, and such amounts are typically limited to an agreed upon amount as set forth in the fund organizational documents.</w:t>
      </w:r>
    </w:p>
    <w:p w14:paraId="2681FDEC" w14:textId="77777777" w:rsidR="00503A66" w:rsidRDefault="00A57A2C" w:rsidP="00326F89">
      <w:pPr>
        <w:jc w:val="both"/>
        <w:rPr>
          <w:rFonts w:ascii="Times New Roman" w:hAnsi="Times New Roman" w:cs="Times New Roman"/>
          <w:sz w:val="24"/>
          <w:szCs w:val="24"/>
        </w:rPr>
      </w:pPr>
      <w:r>
        <w:rPr>
          <w:rFonts w:ascii="Times New Roman" w:hAnsi="Times New Roman" w:cs="Times New Roman"/>
          <w:sz w:val="24"/>
          <w:szCs w:val="24"/>
        </w:rPr>
        <w:t>AlpInvest Partners</w:t>
      </w:r>
      <w:r w:rsidR="00326F89" w:rsidRPr="00326F89">
        <w:rPr>
          <w:rFonts w:ascii="Times New Roman" w:hAnsi="Times New Roman" w:cs="Times New Roman"/>
          <w:sz w:val="24"/>
          <w:szCs w:val="24"/>
        </w:rPr>
        <w:t xml:space="preserve"> representatives are available to discuss and provide further information in response to specific requests by U.S. public pension plans.</w:t>
      </w:r>
    </w:p>
    <w:p w14:paraId="63F70D64" w14:textId="77777777" w:rsidR="00326F89" w:rsidRPr="00326F89" w:rsidRDefault="00326F89" w:rsidP="00326F8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0"/>
        <w:gridCol w:w="1663"/>
        <w:gridCol w:w="2379"/>
        <w:gridCol w:w="2078"/>
      </w:tblGrid>
      <w:tr w:rsidR="00326F89" w:rsidRPr="00326F89" w14:paraId="75B8290B" w14:textId="77777777" w:rsidTr="00265235">
        <w:trPr>
          <w:trHeight w:val="495"/>
        </w:trPr>
        <w:tc>
          <w:tcPr>
            <w:tcW w:w="3230" w:type="dxa"/>
            <w:shd w:val="clear" w:color="auto" w:fill="002060"/>
            <w:vAlign w:val="bottom"/>
          </w:tcPr>
          <w:p w14:paraId="17C99A2F" w14:textId="77777777" w:rsidR="00326F89" w:rsidRPr="00326F89" w:rsidRDefault="00326F89" w:rsidP="00F002DC">
            <w:pPr>
              <w:jc w:val="center"/>
              <w:rPr>
                <w:rFonts w:ascii="Calibri" w:hAnsi="Calibri" w:cs="Times New Roman"/>
                <w:b/>
                <w:color w:val="F2F2F2" w:themeColor="background1" w:themeShade="F2"/>
              </w:rPr>
            </w:pPr>
            <w:r w:rsidRPr="00326F89">
              <w:rPr>
                <w:rFonts w:ascii="Calibri" w:hAnsi="Calibri" w:cs="Times New Roman"/>
                <w:b/>
                <w:color w:val="F2F2F2" w:themeColor="background1" w:themeShade="F2"/>
              </w:rPr>
              <w:t>Fund</w:t>
            </w:r>
          </w:p>
        </w:tc>
        <w:tc>
          <w:tcPr>
            <w:tcW w:w="1663" w:type="dxa"/>
            <w:shd w:val="clear" w:color="auto" w:fill="002060"/>
            <w:vAlign w:val="bottom"/>
          </w:tcPr>
          <w:p w14:paraId="2C2CC349" w14:textId="77777777" w:rsidR="00326F89" w:rsidRPr="00326F89" w:rsidRDefault="00326F89" w:rsidP="00F002DC">
            <w:pPr>
              <w:jc w:val="center"/>
              <w:rPr>
                <w:rFonts w:ascii="Calibri" w:hAnsi="Calibri" w:cs="Times New Roman"/>
                <w:b/>
                <w:color w:val="F2F2F2" w:themeColor="background1" w:themeShade="F2"/>
              </w:rPr>
            </w:pPr>
            <w:r w:rsidRPr="00326F89">
              <w:rPr>
                <w:rFonts w:ascii="Calibri" w:hAnsi="Calibri" w:cs="Times New Roman"/>
                <w:b/>
                <w:color w:val="F2F2F2" w:themeColor="background1" w:themeShade="F2"/>
              </w:rPr>
              <w:t>Description of Compensation</w:t>
            </w:r>
          </w:p>
        </w:tc>
        <w:tc>
          <w:tcPr>
            <w:tcW w:w="2379" w:type="dxa"/>
            <w:shd w:val="clear" w:color="auto" w:fill="002060"/>
            <w:vAlign w:val="bottom"/>
          </w:tcPr>
          <w:p w14:paraId="4C4C8290" w14:textId="77777777" w:rsidR="00326F89" w:rsidRPr="00326F89" w:rsidRDefault="00326F89" w:rsidP="00F002DC">
            <w:pPr>
              <w:jc w:val="center"/>
              <w:rPr>
                <w:rFonts w:ascii="Calibri" w:hAnsi="Calibri" w:cs="Times New Roman"/>
                <w:b/>
                <w:color w:val="F2F2F2" w:themeColor="background1" w:themeShade="F2"/>
              </w:rPr>
            </w:pPr>
            <w:r w:rsidRPr="00326F89">
              <w:rPr>
                <w:rFonts w:ascii="Calibri" w:hAnsi="Calibri" w:cs="Times New Roman"/>
                <w:b/>
                <w:color w:val="F2F2F2" w:themeColor="background1" w:themeShade="F2"/>
              </w:rPr>
              <w:t>Third Party</w:t>
            </w:r>
          </w:p>
        </w:tc>
        <w:tc>
          <w:tcPr>
            <w:tcW w:w="2078" w:type="dxa"/>
            <w:shd w:val="clear" w:color="auto" w:fill="002060"/>
            <w:vAlign w:val="bottom"/>
          </w:tcPr>
          <w:p w14:paraId="2E39AD40" w14:textId="77777777" w:rsidR="00326F89" w:rsidRPr="00326F89" w:rsidRDefault="00326F89" w:rsidP="00F002DC">
            <w:pPr>
              <w:jc w:val="center"/>
              <w:rPr>
                <w:rFonts w:ascii="Calibri" w:hAnsi="Calibri" w:cs="Times New Roman"/>
                <w:b/>
                <w:color w:val="F2F2F2" w:themeColor="background1" w:themeShade="F2"/>
              </w:rPr>
            </w:pPr>
            <w:r w:rsidRPr="00326F89">
              <w:rPr>
                <w:rFonts w:ascii="Calibri" w:hAnsi="Calibri" w:cs="Times New Roman"/>
                <w:b/>
                <w:color w:val="F2F2F2" w:themeColor="background1" w:themeShade="F2"/>
              </w:rPr>
              <w:t>Amount of Compensation in USD</w:t>
            </w:r>
          </w:p>
        </w:tc>
      </w:tr>
      <w:tr w:rsidR="00326F89" w14:paraId="2D267EC3" w14:textId="77777777" w:rsidTr="00265235">
        <w:trPr>
          <w:trHeight w:val="593"/>
        </w:trPr>
        <w:tc>
          <w:tcPr>
            <w:tcW w:w="3230" w:type="dxa"/>
            <w:vAlign w:val="center"/>
          </w:tcPr>
          <w:p w14:paraId="350B7F10" w14:textId="77777777" w:rsidR="00326F89" w:rsidRPr="00326F89" w:rsidRDefault="00FD26F5" w:rsidP="00083C33">
            <w:pPr>
              <w:jc w:val="center"/>
              <w:rPr>
                <w:rFonts w:cs="Times New Roman"/>
              </w:rPr>
            </w:pPr>
            <w:r>
              <w:rPr>
                <w:rFonts w:cs="Times New Roman"/>
              </w:rPr>
              <w:t>AlpInvest C Fund, L.P.</w:t>
            </w:r>
          </w:p>
        </w:tc>
        <w:tc>
          <w:tcPr>
            <w:tcW w:w="1663" w:type="dxa"/>
            <w:vAlign w:val="center"/>
          </w:tcPr>
          <w:p w14:paraId="15164A3A" w14:textId="77777777" w:rsidR="00326F89" w:rsidRPr="00326F89" w:rsidRDefault="00FD26F5" w:rsidP="00083C33">
            <w:pPr>
              <w:jc w:val="center"/>
              <w:rPr>
                <w:rFonts w:cs="Times New Roman"/>
              </w:rPr>
            </w:pPr>
            <w:r>
              <w:rPr>
                <w:rFonts w:cs="Times New Roman"/>
              </w:rPr>
              <w:t>Legal Fees</w:t>
            </w:r>
          </w:p>
        </w:tc>
        <w:tc>
          <w:tcPr>
            <w:tcW w:w="2379" w:type="dxa"/>
            <w:vAlign w:val="center"/>
          </w:tcPr>
          <w:p w14:paraId="132A5C81" w14:textId="77777777" w:rsidR="00326F89" w:rsidRPr="00326F89" w:rsidRDefault="00FD26F5" w:rsidP="00083C33">
            <w:pPr>
              <w:jc w:val="center"/>
              <w:rPr>
                <w:rFonts w:cs="Times New Roman"/>
              </w:rPr>
            </w:pPr>
            <w:r>
              <w:rPr>
                <w:rFonts w:cs="Times New Roman"/>
              </w:rPr>
              <w:t>Ropes &amp; Gray</w:t>
            </w:r>
          </w:p>
        </w:tc>
        <w:tc>
          <w:tcPr>
            <w:tcW w:w="2078" w:type="dxa"/>
            <w:vAlign w:val="center"/>
          </w:tcPr>
          <w:p w14:paraId="5B2B74A3" w14:textId="77777777" w:rsidR="00326F89" w:rsidRPr="00326F89" w:rsidRDefault="00FD26F5" w:rsidP="00083C33">
            <w:pPr>
              <w:jc w:val="center"/>
              <w:rPr>
                <w:rFonts w:cs="Times New Roman"/>
              </w:rPr>
            </w:pPr>
            <w:r>
              <w:rPr>
                <w:rFonts w:cs="Times New Roman"/>
              </w:rPr>
              <w:t>$218,590.26</w:t>
            </w:r>
          </w:p>
        </w:tc>
      </w:tr>
      <w:tr w:rsidR="00FD26F5" w14:paraId="131E155D" w14:textId="77777777" w:rsidTr="00265235">
        <w:trPr>
          <w:trHeight w:val="728"/>
        </w:trPr>
        <w:tc>
          <w:tcPr>
            <w:tcW w:w="3230" w:type="dxa"/>
            <w:vAlign w:val="center"/>
          </w:tcPr>
          <w:p w14:paraId="38D9C7BF" w14:textId="77777777" w:rsidR="00FD26F5" w:rsidRPr="00326F89" w:rsidRDefault="00FD26F5" w:rsidP="00FD26F5">
            <w:pPr>
              <w:jc w:val="center"/>
              <w:rPr>
                <w:rFonts w:cs="Times New Roman"/>
              </w:rPr>
            </w:pPr>
            <w:r>
              <w:rPr>
                <w:rFonts w:cs="Times New Roman"/>
              </w:rPr>
              <w:t>AlpInvest C Fund, L.P.</w:t>
            </w:r>
          </w:p>
        </w:tc>
        <w:tc>
          <w:tcPr>
            <w:tcW w:w="1663" w:type="dxa"/>
            <w:vAlign w:val="center"/>
          </w:tcPr>
          <w:p w14:paraId="15D0BA1D" w14:textId="77777777" w:rsidR="00FD26F5" w:rsidRPr="00326F89" w:rsidRDefault="00FD26F5" w:rsidP="00FD26F5">
            <w:pPr>
              <w:jc w:val="center"/>
              <w:rPr>
                <w:rFonts w:cs="Times New Roman"/>
              </w:rPr>
            </w:pPr>
            <w:r>
              <w:rPr>
                <w:rFonts w:cs="Times New Roman"/>
              </w:rPr>
              <w:t>Legal Fees</w:t>
            </w:r>
          </w:p>
        </w:tc>
        <w:tc>
          <w:tcPr>
            <w:tcW w:w="2379" w:type="dxa"/>
            <w:vAlign w:val="center"/>
          </w:tcPr>
          <w:p w14:paraId="0380A835" w14:textId="77777777" w:rsidR="00FD26F5" w:rsidRPr="00326F89" w:rsidRDefault="00FD26F5" w:rsidP="00FD26F5">
            <w:pPr>
              <w:jc w:val="center"/>
              <w:rPr>
                <w:rFonts w:cs="Times New Roman"/>
              </w:rPr>
            </w:pPr>
            <w:r>
              <w:rPr>
                <w:rFonts w:cs="Times New Roman"/>
              </w:rPr>
              <w:t xml:space="preserve">Smith </w:t>
            </w:r>
            <w:proofErr w:type="spellStart"/>
            <w:r>
              <w:rPr>
                <w:rFonts w:cs="Times New Roman"/>
              </w:rPr>
              <w:t>Katzenstein</w:t>
            </w:r>
            <w:proofErr w:type="spellEnd"/>
            <w:r>
              <w:rPr>
                <w:rFonts w:cs="Times New Roman"/>
              </w:rPr>
              <w:t xml:space="preserve"> Jenkins</w:t>
            </w:r>
          </w:p>
        </w:tc>
        <w:tc>
          <w:tcPr>
            <w:tcW w:w="2078" w:type="dxa"/>
            <w:vAlign w:val="center"/>
          </w:tcPr>
          <w:p w14:paraId="79C1992C" w14:textId="77777777" w:rsidR="00FD26F5" w:rsidRDefault="00FD26F5" w:rsidP="00FD26F5">
            <w:pPr>
              <w:jc w:val="center"/>
              <w:rPr>
                <w:rFonts w:cs="Times New Roman"/>
              </w:rPr>
            </w:pPr>
            <w:r>
              <w:rPr>
                <w:rFonts w:cs="Times New Roman"/>
              </w:rPr>
              <w:t>$7,890.65</w:t>
            </w:r>
          </w:p>
        </w:tc>
      </w:tr>
      <w:tr w:rsidR="00FD26F5" w14:paraId="37B4C590" w14:textId="77777777" w:rsidTr="00265235">
        <w:trPr>
          <w:trHeight w:val="818"/>
        </w:trPr>
        <w:tc>
          <w:tcPr>
            <w:tcW w:w="3230" w:type="dxa"/>
            <w:vAlign w:val="center"/>
          </w:tcPr>
          <w:p w14:paraId="04264550" w14:textId="77777777" w:rsidR="00FD26F5" w:rsidRPr="00326F89" w:rsidRDefault="00FD26F5" w:rsidP="00FD26F5">
            <w:pPr>
              <w:jc w:val="center"/>
              <w:rPr>
                <w:rFonts w:cs="Times New Roman"/>
              </w:rPr>
            </w:pPr>
            <w:r>
              <w:rPr>
                <w:rFonts w:cs="Times New Roman"/>
              </w:rPr>
              <w:t>AlpInvest C Fund, L.P.</w:t>
            </w:r>
          </w:p>
        </w:tc>
        <w:tc>
          <w:tcPr>
            <w:tcW w:w="1663" w:type="dxa"/>
            <w:vAlign w:val="center"/>
          </w:tcPr>
          <w:p w14:paraId="4B3DCE33" w14:textId="77777777" w:rsidR="00FD26F5" w:rsidRPr="00326F89" w:rsidRDefault="00FD26F5" w:rsidP="00FD26F5">
            <w:pPr>
              <w:jc w:val="center"/>
              <w:rPr>
                <w:rFonts w:cs="Times New Roman"/>
              </w:rPr>
            </w:pPr>
            <w:r>
              <w:rPr>
                <w:rFonts w:cs="Times New Roman"/>
              </w:rPr>
              <w:t>Legal Fees</w:t>
            </w:r>
          </w:p>
        </w:tc>
        <w:tc>
          <w:tcPr>
            <w:tcW w:w="2379" w:type="dxa"/>
            <w:vAlign w:val="center"/>
          </w:tcPr>
          <w:p w14:paraId="1D1C66F3" w14:textId="77777777" w:rsidR="00FD26F5" w:rsidRPr="00326F89" w:rsidRDefault="00FD26F5" w:rsidP="00FD26F5">
            <w:pPr>
              <w:jc w:val="center"/>
              <w:rPr>
                <w:rFonts w:cs="Times New Roman"/>
              </w:rPr>
            </w:pPr>
            <w:r>
              <w:rPr>
                <w:rFonts w:cs="Times New Roman"/>
              </w:rPr>
              <w:t>Morgan Lewis</w:t>
            </w:r>
          </w:p>
        </w:tc>
        <w:tc>
          <w:tcPr>
            <w:tcW w:w="2078" w:type="dxa"/>
            <w:vAlign w:val="center"/>
          </w:tcPr>
          <w:p w14:paraId="65A64BBF" w14:textId="77777777" w:rsidR="00FD26F5" w:rsidRPr="00326F89" w:rsidRDefault="00FD26F5" w:rsidP="00FD26F5">
            <w:pPr>
              <w:jc w:val="center"/>
              <w:rPr>
                <w:rFonts w:cs="Times New Roman"/>
              </w:rPr>
            </w:pPr>
            <w:r>
              <w:rPr>
                <w:rFonts w:cs="Times New Roman"/>
              </w:rPr>
              <w:t>$148,042.50</w:t>
            </w:r>
          </w:p>
        </w:tc>
      </w:tr>
      <w:tr w:rsidR="00FD26F5" w14:paraId="6F7BA01E" w14:textId="77777777" w:rsidTr="00265235">
        <w:trPr>
          <w:trHeight w:val="836"/>
        </w:trPr>
        <w:tc>
          <w:tcPr>
            <w:tcW w:w="3230" w:type="dxa"/>
            <w:vAlign w:val="center"/>
          </w:tcPr>
          <w:p w14:paraId="2D0C03B9" w14:textId="77777777" w:rsidR="00FD26F5" w:rsidRPr="00326F89" w:rsidRDefault="00FD26F5" w:rsidP="00FD26F5">
            <w:pPr>
              <w:jc w:val="center"/>
              <w:rPr>
                <w:rFonts w:cs="Times New Roman"/>
              </w:rPr>
            </w:pPr>
            <w:r>
              <w:rPr>
                <w:rFonts w:cs="Times New Roman"/>
              </w:rPr>
              <w:t>AlpInvest FC Credit Fund, L.P.</w:t>
            </w:r>
          </w:p>
        </w:tc>
        <w:tc>
          <w:tcPr>
            <w:tcW w:w="1663" w:type="dxa"/>
            <w:vAlign w:val="center"/>
          </w:tcPr>
          <w:p w14:paraId="40F7A4F4" w14:textId="77777777" w:rsidR="00FD26F5" w:rsidRPr="00326F89" w:rsidRDefault="00FD26F5" w:rsidP="00FD26F5">
            <w:pPr>
              <w:jc w:val="center"/>
              <w:rPr>
                <w:rFonts w:cs="Times New Roman"/>
              </w:rPr>
            </w:pPr>
            <w:r>
              <w:rPr>
                <w:rFonts w:cs="Times New Roman"/>
              </w:rPr>
              <w:t>Legal Fees</w:t>
            </w:r>
          </w:p>
        </w:tc>
        <w:tc>
          <w:tcPr>
            <w:tcW w:w="2379" w:type="dxa"/>
            <w:vAlign w:val="center"/>
          </w:tcPr>
          <w:p w14:paraId="777FE8D3" w14:textId="77777777" w:rsidR="00FD26F5" w:rsidRPr="00326F89" w:rsidRDefault="00FD26F5" w:rsidP="00FD26F5">
            <w:pPr>
              <w:jc w:val="center"/>
              <w:rPr>
                <w:rFonts w:cs="Times New Roman"/>
              </w:rPr>
            </w:pPr>
            <w:r>
              <w:rPr>
                <w:rFonts w:cs="Times New Roman"/>
              </w:rPr>
              <w:t>Ropes &amp; Gray</w:t>
            </w:r>
          </w:p>
        </w:tc>
        <w:tc>
          <w:tcPr>
            <w:tcW w:w="2078" w:type="dxa"/>
            <w:vAlign w:val="center"/>
          </w:tcPr>
          <w:p w14:paraId="0113CBBC" w14:textId="77777777" w:rsidR="00FD26F5" w:rsidRPr="00326F89" w:rsidRDefault="00FD26F5" w:rsidP="00FD26F5">
            <w:pPr>
              <w:jc w:val="center"/>
              <w:rPr>
                <w:rFonts w:cs="Times New Roman"/>
              </w:rPr>
            </w:pPr>
            <w:r>
              <w:rPr>
                <w:rFonts w:cs="Times New Roman"/>
              </w:rPr>
              <w:t>$89,241.28</w:t>
            </w:r>
          </w:p>
        </w:tc>
      </w:tr>
      <w:tr w:rsidR="00FD26F5" w14:paraId="0D5AB7BF" w14:textId="77777777" w:rsidTr="00265235">
        <w:trPr>
          <w:trHeight w:val="845"/>
        </w:trPr>
        <w:tc>
          <w:tcPr>
            <w:tcW w:w="3230" w:type="dxa"/>
            <w:vAlign w:val="center"/>
          </w:tcPr>
          <w:p w14:paraId="74BAA146" w14:textId="77777777" w:rsidR="00FD26F5" w:rsidRPr="00326F89" w:rsidRDefault="00FD26F5" w:rsidP="00FD26F5">
            <w:pPr>
              <w:jc w:val="center"/>
              <w:rPr>
                <w:rFonts w:cs="Times New Roman"/>
              </w:rPr>
            </w:pPr>
            <w:r>
              <w:rPr>
                <w:rFonts w:cs="Times New Roman"/>
              </w:rPr>
              <w:t>AlpInvest FC Credit Fund, L.P.</w:t>
            </w:r>
          </w:p>
        </w:tc>
        <w:tc>
          <w:tcPr>
            <w:tcW w:w="1663" w:type="dxa"/>
            <w:vAlign w:val="center"/>
          </w:tcPr>
          <w:p w14:paraId="36C9E1E8" w14:textId="77777777" w:rsidR="00FD26F5" w:rsidRPr="00326F89" w:rsidRDefault="00FD26F5" w:rsidP="00FD26F5">
            <w:pPr>
              <w:jc w:val="center"/>
              <w:rPr>
                <w:rFonts w:cs="Times New Roman"/>
              </w:rPr>
            </w:pPr>
            <w:r>
              <w:rPr>
                <w:rFonts w:cs="Times New Roman"/>
              </w:rPr>
              <w:t>Legal Fees</w:t>
            </w:r>
          </w:p>
        </w:tc>
        <w:tc>
          <w:tcPr>
            <w:tcW w:w="2379" w:type="dxa"/>
            <w:vAlign w:val="center"/>
          </w:tcPr>
          <w:p w14:paraId="79EC5546" w14:textId="77777777" w:rsidR="00FD26F5" w:rsidRPr="00326F89" w:rsidRDefault="00FD26F5" w:rsidP="00FD26F5">
            <w:pPr>
              <w:jc w:val="center"/>
              <w:rPr>
                <w:rFonts w:cs="Times New Roman"/>
              </w:rPr>
            </w:pPr>
            <w:r>
              <w:rPr>
                <w:rFonts w:cs="Times New Roman"/>
              </w:rPr>
              <w:t xml:space="preserve">Smith </w:t>
            </w:r>
            <w:proofErr w:type="spellStart"/>
            <w:r>
              <w:rPr>
                <w:rFonts w:cs="Times New Roman"/>
              </w:rPr>
              <w:t>Katzenstein</w:t>
            </w:r>
            <w:proofErr w:type="spellEnd"/>
            <w:r>
              <w:rPr>
                <w:rFonts w:cs="Times New Roman"/>
              </w:rPr>
              <w:t xml:space="preserve"> Jenkins</w:t>
            </w:r>
          </w:p>
        </w:tc>
        <w:tc>
          <w:tcPr>
            <w:tcW w:w="2078" w:type="dxa"/>
            <w:vAlign w:val="center"/>
          </w:tcPr>
          <w:p w14:paraId="7A905005" w14:textId="77777777" w:rsidR="00FD26F5" w:rsidRPr="00326F89" w:rsidRDefault="00FD26F5" w:rsidP="00FD26F5">
            <w:pPr>
              <w:jc w:val="center"/>
              <w:rPr>
                <w:rFonts w:cs="Times New Roman"/>
              </w:rPr>
            </w:pPr>
            <w:r>
              <w:rPr>
                <w:rFonts w:cs="Times New Roman"/>
              </w:rPr>
              <w:t>$7,855.35</w:t>
            </w:r>
          </w:p>
        </w:tc>
      </w:tr>
      <w:tr w:rsidR="00FD26F5" w14:paraId="5559333F" w14:textId="77777777" w:rsidTr="00265235">
        <w:trPr>
          <w:trHeight w:val="845"/>
        </w:trPr>
        <w:tc>
          <w:tcPr>
            <w:tcW w:w="3230" w:type="dxa"/>
            <w:vAlign w:val="center"/>
          </w:tcPr>
          <w:p w14:paraId="6C47CB76" w14:textId="77777777" w:rsidR="00FD26F5" w:rsidRPr="00326F89" w:rsidRDefault="00FD26F5" w:rsidP="00FD26F5">
            <w:pPr>
              <w:jc w:val="center"/>
              <w:rPr>
                <w:rFonts w:cs="Times New Roman"/>
              </w:rPr>
            </w:pPr>
            <w:r>
              <w:rPr>
                <w:rFonts w:cs="Times New Roman"/>
              </w:rPr>
              <w:t>AlpInvest/Michigan Investment Fund, L.P.</w:t>
            </w:r>
          </w:p>
        </w:tc>
        <w:tc>
          <w:tcPr>
            <w:tcW w:w="1663" w:type="dxa"/>
            <w:vAlign w:val="center"/>
          </w:tcPr>
          <w:p w14:paraId="19556D19" w14:textId="77777777" w:rsidR="00FD26F5" w:rsidRPr="00326F89" w:rsidRDefault="00FD26F5" w:rsidP="00FD26F5">
            <w:pPr>
              <w:jc w:val="center"/>
              <w:rPr>
                <w:rFonts w:cs="Times New Roman"/>
              </w:rPr>
            </w:pPr>
            <w:r>
              <w:rPr>
                <w:rFonts w:cs="Times New Roman"/>
              </w:rPr>
              <w:t>Legal Fees</w:t>
            </w:r>
          </w:p>
        </w:tc>
        <w:tc>
          <w:tcPr>
            <w:tcW w:w="2379" w:type="dxa"/>
            <w:vAlign w:val="center"/>
          </w:tcPr>
          <w:p w14:paraId="7D471C0A" w14:textId="77777777" w:rsidR="00FD26F5" w:rsidRPr="00326F89" w:rsidRDefault="00FD26F5" w:rsidP="00FD26F5">
            <w:pPr>
              <w:jc w:val="center"/>
              <w:rPr>
                <w:rFonts w:cs="Times New Roman"/>
              </w:rPr>
            </w:pPr>
            <w:r>
              <w:rPr>
                <w:rFonts w:cs="Times New Roman"/>
              </w:rPr>
              <w:t>Ropes &amp; Gray</w:t>
            </w:r>
          </w:p>
        </w:tc>
        <w:tc>
          <w:tcPr>
            <w:tcW w:w="2078" w:type="dxa"/>
            <w:vAlign w:val="center"/>
          </w:tcPr>
          <w:p w14:paraId="2C0BA22C" w14:textId="77777777" w:rsidR="00FD26F5" w:rsidRPr="00326F89" w:rsidRDefault="00FD26F5" w:rsidP="00FD26F5">
            <w:pPr>
              <w:jc w:val="center"/>
              <w:rPr>
                <w:rFonts w:cs="Times New Roman"/>
              </w:rPr>
            </w:pPr>
            <w:r>
              <w:rPr>
                <w:rFonts w:cs="Times New Roman"/>
              </w:rPr>
              <w:t>$</w:t>
            </w:r>
            <w:r w:rsidR="00A737B8">
              <w:rPr>
                <w:rFonts w:cs="Times New Roman"/>
              </w:rPr>
              <w:t>159,083.60</w:t>
            </w:r>
          </w:p>
        </w:tc>
      </w:tr>
      <w:tr w:rsidR="00FD26F5" w14:paraId="4E1A621B" w14:textId="77777777" w:rsidTr="00265235">
        <w:trPr>
          <w:trHeight w:val="863"/>
        </w:trPr>
        <w:tc>
          <w:tcPr>
            <w:tcW w:w="3230" w:type="dxa"/>
            <w:vAlign w:val="center"/>
          </w:tcPr>
          <w:p w14:paraId="5A0FD9BE" w14:textId="77777777" w:rsidR="00FD26F5" w:rsidRPr="00326F89" w:rsidRDefault="00A737B8" w:rsidP="00FD26F5">
            <w:pPr>
              <w:jc w:val="center"/>
              <w:rPr>
                <w:rFonts w:cs="Times New Roman"/>
              </w:rPr>
            </w:pPr>
            <w:r>
              <w:rPr>
                <w:rFonts w:cs="Times New Roman"/>
              </w:rPr>
              <w:t>AlpInvest North Rush, L.P.</w:t>
            </w:r>
          </w:p>
        </w:tc>
        <w:tc>
          <w:tcPr>
            <w:tcW w:w="1663" w:type="dxa"/>
            <w:vAlign w:val="center"/>
          </w:tcPr>
          <w:p w14:paraId="2D213068" w14:textId="77777777" w:rsidR="00FD26F5" w:rsidRPr="00326F89" w:rsidRDefault="00FD26F5" w:rsidP="00FD26F5">
            <w:pPr>
              <w:jc w:val="center"/>
              <w:rPr>
                <w:rFonts w:cs="Times New Roman"/>
              </w:rPr>
            </w:pPr>
            <w:r>
              <w:rPr>
                <w:rFonts w:cs="Times New Roman"/>
              </w:rPr>
              <w:t>Legal Fees</w:t>
            </w:r>
          </w:p>
        </w:tc>
        <w:tc>
          <w:tcPr>
            <w:tcW w:w="2379" w:type="dxa"/>
            <w:vAlign w:val="center"/>
          </w:tcPr>
          <w:p w14:paraId="6D4ACC36" w14:textId="77777777" w:rsidR="00FD26F5" w:rsidRPr="00326F89" w:rsidRDefault="00A737B8" w:rsidP="00FD26F5">
            <w:pPr>
              <w:jc w:val="center"/>
              <w:rPr>
                <w:rFonts w:cs="Times New Roman"/>
              </w:rPr>
            </w:pPr>
            <w:r>
              <w:rPr>
                <w:rFonts w:cs="Times New Roman"/>
              </w:rPr>
              <w:t>Latham &amp; Watkins</w:t>
            </w:r>
          </w:p>
        </w:tc>
        <w:tc>
          <w:tcPr>
            <w:tcW w:w="2078" w:type="dxa"/>
            <w:vAlign w:val="center"/>
          </w:tcPr>
          <w:p w14:paraId="698929ED" w14:textId="77777777" w:rsidR="00FD26F5" w:rsidRPr="00326F89" w:rsidRDefault="00A737B8" w:rsidP="00FD26F5">
            <w:pPr>
              <w:jc w:val="center"/>
              <w:rPr>
                <w:rFonts w:cs="Times New Roman"/>
              </w:rPr>
            </w:pPr>
            <w:r>
              <w:rPr>
                <w:rFonts w:cs="Times New Roman"/>
              </w:rPr>
              <w:t>$51,395.82</w:t>
            </w:r>
          </w:p>
        </w:tc>
      </w:tr>
      <w:tr w:rsidR="00A737B8" w14:paraId="0A20E646" w14:textId="77777777" w:rsidTr="00265235">
        <w:trPr>
          <w:trHeight w:val="863"/>
        </w:trPr>
        <w:tc>
          <w:tcPr>
            <w:tcW w:w="3230" w:type="dxa"/>
            <w:vAlign w:val="center"/>
          </w:tcPr>
          <w:p w14:paraId="65328D0F" w14:textId="77777777" w:rsidR="00A737B8" w:rsidRDefault="00A737B8" w:rsidP="00FD26F5">
            <w:pPr>
              <w:jc w:val="center"/>
              <w:rPr>
                <w:rFonts w:cs="Times New Roman"/>
              </w:rPr>
            </w:pPr>
            <w:r>
              <w:rPr>
                <w:rFonts w:cs="Times New Roman"/>
              </w:rPr>
              <w:t>AlpInvest North Rush II, L.P.</w:t>
            </w:r>
          </w:p>
        </w:tc>
        <w:tc>
          <w:tcPr>
            <w:tcW w:w="1663" w:type="dxa"/>
            <w:vAlign w:val="center"/>
          </w:tcPr>
          <w:p w14:paraId="5F5A5DD3" w14:textId="77777777" w:rsidR="00A737B8" w:rsidRDefault="00A737B8" w:rsidP="00FD26F5">
            <w:pPr>
              <w:jc w:val="center"/>
              <w:rPr>
                <w:rFonts w:cs="Times New Roman"/>
              </w:rPr>
            </w:pPr>
            <w:r>
              <w:rPr>
                <w:rFonts w:cs="Times New Roman"/>
              </w:rPr>
              <w:t>Legal Fees</w:t>
            </w:r>
          </w:p>
        </w:tc>
        <w:tc>
          <w:tcPr>
            <w:tcW w:w="2379" w:type="dxa"/>
            <w:vAlign w:val="center"/>
          </w:tcPr>
          <w:p w14:paraId="28CE5EA4" w14:textId="77777777" w:rsidR="00A737B8" w:rsidRPr="00326F89" w:rsidRDefault="00A737B8" w:rsidP="00FD26F5">
            <w:pPr>
              <w:jc w:val="center"/>
              <w:rPr>
                <w:rFonts w:cs="Times New Roman"/>
              </w:rPr>
            </w:pPr>
            <w:r>
              <w:rPr>
                <w:rFonts w:cs="Times New Roman"/>
              </w:rPr>
              <w:t>Latham &amp; Watkins</w:t>
            </w:r>
          </w:p>
        </w:tc>
        <w:tc>
          <w:tcPr>
            <w:tcW w:w="2078" w:type="dxa"/>
            <w:vAlign w:val="center"/>
          </w:tcPr>
          <w:p w14:paraId="10117E24" w14:textId="2D41C3F2" w:rsidR="00A737B8" w:rsidRPr="00326F89" w:rsidRDefault="00A737B8" w:rsidP="00FD26F5">
            <w:pPr>
              <w:jc w:val="center"/>
              <w:rPr>
                <w:rFonts w:cs="Times New Roman"/>
              </w:rPr>
            </w:pPr>
            <w:r>
              <w:rPr>
                <w:rFonts w:cs="Times New Roman"/>
              </w:rPr>
              <w:t>$</w:t>
            </w:r>
            <w:r w:rsidR="00265235">
              <w:rPr>
                <w:rFonts w:cs="Times New Roman"/>
              </w:rPr>
              <w:t>25,912</w:t>
            </w:r>
            <w:r>
              <w:rPr>
                <w:rFonts w:cs="Times New Roman"/>
              </w:rPr>
              <w:t>.50</w:t>
            </w:r>
          </w:p>
        </w:tc>
      </w:tr>
      <w:tr w:rsidR="00265235" w14:paraId="0011B963" w14:textId="77777777" w:rsidTr="00265235">
        <w:trPr>
          <w:trHeight w:val="863"/>
        </w:trPr>
        <w:tc>
          <w:tcPr>
            <w:tcW w:w="3230" w:type="dxa"/>
            <w:vAlign w:val="center"/>
          </w:tcPr>
          <w:p w14:paraId="1D5CC69A" w14:textId="2F93C868" w:rsidR="00265235" w:rsidRDefault="00265235" w:rsidP="00265235">
            <w:pPr>
              <w:jc w:val="center"/>
              <w:rPr>
                <w:rFonts w:cs="Times New Roman"/>
              </w:rPr>
            </w:pPr>
            <w:r>
              <w:rPr>
                <w:rFonts w:cs="Times New Roman"/>
              </w:rPr>
              <w:lastRenderedPageBreak/>
              <w:t>AlpInvest North Rush II, L.P.</w:t>
            </w:r>
          </w:p>
        </w:tc>
        <w:tc>
          <w:tcPr>
            <w:tcW w:w="1663" w:type="dxa"/>
            <w:vAlign w:val="center"/>
          </w:tcPr>
          <w:p w14:paraId="0B3BC23D" w14:textId="537BF7DA" w:rsidR="00265235" w:rsidRDefault="00265235" w:rsidP="00265235">
            <w:pPr>
              <w:jc w:val="center"/>
              <w:rPr>
                <w:rFonts w:cs="Times New Roman"/>
              </w:rPr>
            </w:pPr>
            <w:r>
              <w:rPr>
                <w:rFonts w:cs="Times New Roman"/>
              </w:rPr>
              <w:t>Legal Fees</w:t>
            </w:r>
          </w:p>
        </w:tc>
        <w:tc>
          <w:tcPr>
            <w:tcW w:w="2379" w:type="dxa"/>
            <w:vAlign w:val="center"/>
          </w:tcPr>
          <w:p w14:paraId="0E974BCB" w14:textId="60F4D63A" w:rsidR="00265235" w:rsidRDefault="00265235" w:rsidP="00265235">
            <w:pPr>
              <w:jc w:val="center"/>
              <w:rPr>
                <w:rFonts w:cs="Times New Roman"/>
              </w:rPr>
            </w:pPr>
            <w:r>
              <w:rPr>
                <w:rFonts w:cs="Times New Roman"/>
              </w:rPr>
              <w:t>Ropes &amp; Gray</w:t>
            </w:r>
          </w:p>
        </w:tc>
        <w:tc>
          <w:tcPr>
            <w:tcW w:w="2078" w:type="dxa"/>
            <w:vAlign w:val="center"/>
          </w:tcPr>
          <w:p w14:paraId="5D4375F9" w14:textId="2802804D" w:rsidR="00265235" w:rsidRDefault="00265235" w:rsidP="00265235">
            <w:pPr>
              <w:jc w:val="center"/>
              <w:rPr>
                <w:rFonts w:cs="Times New Roman"/>
              </w:rPr>
            </w:pPr>
            <w:r>
              <w:rPr>
                <w:rFonts w:cs="Times New Roman"/>
              </w:rPr>
              <w:t>$</w:t>
            </w:r>
            <w:r>
              <w:rPr>
                <w:rFonts w:cs="Times New Roman"/>
              </w:rPr>
              <w:t>176.25</w:t>
            </w:r>
          </w:p>
        </w:tc>
      </w:tr>
      <w:tr w:rsidR="00265235" w14:paraId="54E331D4" w14:textId="77777777" w:rsidTr="00265235">
        <w:trPr>
          <w:trHeight w:val="863"/>
        </w:trPr>
        <w:tc>
          <w:tcPr>
            <w:tcW w:w="3230" w:type="dxa"/>
            <w:vAlign w:val="center"/>
          </w:tcPr>
          <w:p w14:paraId="2B2ED1F0"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3E38BB1B" w14:textId="77777777" w:rsidR="00265235" w:rsidRDefault="00265235" w:rsidP="00265235">
            <w:pPr>
              <w:jc w:val="center"/>
              <w:rPr>
                <w:rFonts w:cs="Times New Roman"/>
              </w:rPr>
            </w:pPr>
            <w:r>
              <w:rPr>
                <w:rFonts w:cs="Times New Roman"/>
              </w:rPr>
              <w:t>Legal Fees</w:t>
            </w:r>
          </w:p>
        </w:tc>
        <w:tc>
          <w:tcPr>
            <w:tcW w:w="2379" w:type="dxa"/>
            <w:vAlign w:val="center"/>
          </w:tcPr>
          <w:p w14:paraId="216EC943" w14:textId="77777777" w:rsidR="00265235" w:rsidRPr="00326F89" w:rsidRDefault="00265235" w:rsidP="00265235">
            <w:pPr>
              <w:jc w:val="center"/>
              <w:rPr>
                <w:rFonts w:cs="Times New Roman"/>
              </w:rPr>
            </w:pPr>
            <w:r>
              <w:rPr>
                <w:rFonts w:cs="Times New Roman"/>
              </w:rPr>
              <w:t>Ropes &amp; Gray</w:t>
            </w:r>
          </w:p>
        </w:tc>
        <w:tc>
          <w:tcPr>
            <w:tcW w:w="2078" w:type="dxa"/>
            <w:vAlign w:val="center"/>
          </w:tcPr>
          <w:p w14:paraId="322BC9A3" w14:textId="1C826869" w:rsidR="00265235" w:rsidRPr="00326F89" w:rsidRDefault="00265235" w:rsidP="00265235">
            <w:pPr>
              <w:jc w:val="center"/>
              <w:rPr>
                <w:rFonts w:cs="Times New Roman"/>
              </w:rPr>
            </w:pPr>
            <w:r>
              <w:rPr>
                <w:rFonts w:cs="Times New Roman"/>
              </w:rPr>
              <w:t>$260,575.09</w:t>
            </w:r>
          </w:p>
        </w:tc>
      </w:tr>
      <w:tr w:rsidR="00265235" w14:paraId="23582CB7" w14:textId="77777777" w:rsidTr="00265235">
        <w:trPr>
          <w:trHeight w:val="863"/>
        </w:trPr>
        <w:tc>
          <w:tcPr>
            <w:tcW w:w="3230" w:type="dxa"/>
            <w:vAlign w:val="center"/>
          </w:tcPr>
          <w:p w14:paraId="2AFB7406"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0B9ED423" w14:textId="77777777" w:rsidR="00265235" w:rsidRDefault="00265235" w:rsidP="00265235">
            <w:pPr>
              <w:jc w:val="center"/>
              <w:rPr>
                <w:rFonts w:cs="Times New Roman"/>
              </w:rPr>
            </w:pPr>
            <w:r>
              <w:rPr>
                <w:rFonts w:cs="Times New Roman"/>
              </w:rPr>
              <w:t>Legal Fees</w:t>
            </w:r>
          </w:p>
        </w:tc>
        <w:tc>
          <w:tcPr>
            <w:tcW w:w="2379" w:type="dxa"/>
            <w:vAlign w:val="center"/>
          </w:tcPr>
          <w:p w14:paraId="673D00E7" w14:textId="77777777" w:rsidR="00265235" w:rsidRPr="00326F89" w:rsidRDefault="00265235" w:rsidP="00265235">
            <w:pPr>
              <w:jc w:val="center"/>
              <w:rPr>
                <w:rFonts w:cs="Times New Roman"/>
              </w:rPr>
            </w:pPr>
            <w:proofErr w:type="spellStart"/>
            <w:r>
              <w:rPr>
                <w:rFonts w:cs="Times New Roman"/>
              </w:rPr>
              <w:t>Loyens</w:t>
            </w:r>
            <w:proofErr w:type="spellEnd"/>
            <w:r>
              <w:rPr>
                <w:rFonts w:cs="Times New Roman"/>
              </w:rPr>
              <w:t xml:space="preserve"> &amp; </w:t>
            </w:r>
            <w:proofErr w:type="spellStart"/>
            <w:r>
              <w:rPr>
                <w:rFonts w:cs="Times New Roman"/>
              </w:rPr>
              <w:t>Loeff</w:t>
            </w:r>
            <w:proofErr w:type="spellEnd"/>
          </w:p>
        </w:tc>
        <w:tc>
          <w:tcPr>
            <w:tcW w:w="2078" w:type="dxa"/>
            <w:vAlign w:val="center"/>
          </w:tcPr>
          <w:p w14:paraId="2A5894FB" w14:textId="77777777" w:rsidR="00265235" w:rsidRPr="00326F89" w:rsidRDefault="00265235" w:rsidP="00265235">
            <w:pPr>
              <w:jc w:val="center"/>
              <w:rPr>
                <w:rFonts w:cs="Times New Roman"/>
              </w:rPr>
            </w:pPr>
            <w:r>
              <w:rPr>
                <w:rFonts w:cs="Times New Roman"/>
              </w:rPr>
              <w:t>$16,405.03</w:t>
            </w:r>
          </w:p>
        </w:tc>
      </w:tr>
      <w:tr w:rsidR="00265235" w14:paraId="012B166F" w14:textId="77777777" w:rsidTr="00265235">
        <w:trPr>
          <w:trHeight w:val="863"/>
        </w:trPr>
        <w:tc>
          <w:tcPr>
            <w:tcW w:w="3230" w:type="dxa"/>
            <w:vAlign w:val="center"/>
          </w:tcPr>
          <w:p w14:paraId="08B81F8E"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1A9F5179" w14:textId="77777777" w:rsidR="00265235" w:rsidRDefault="00265235" w:rsidP="00265235">
            <w:pPr>
              <w:jc w:val="center"/>
              <w:rPr>
                <w:rFonts w:cs="Times New Roman"/>
              </w:rPr>
            </w:pPr>
            <w:r>
              <w:rPr>
                <w:rFonts w:cs="Times New Roman"/>
              </w:rPr>
              <w:t>Legal Fees</w:t>
            </w:r>
          </w:p>
        </w:tc>
        <w:tc>
          <w:tcPr>
            <w:tcW w:w="2379" w:type="dxa"/>
            <w:vAlign w:val="center"/>
          </w:tcPr>
          <w:p w14:paraId="6D053BFD" w14:textId="77777777" w:rsidR="00265235" w:rsidRPr="00326F89" w:rsidRDefault="00265235" w:rsidP="00265235">
            <w:pPr>
              <w:jc w:val="center"/>
              <w:rPr>
                <w:rFonts w:cs="Times New Roman"/>
              </w:rPr>
            </w:pPr>
            <w:r>
              <w:rPr>
                <w:rFonts w:cs="Times New Roman"/>
              </w:rPr>
              <w:t>Walkers</w:t>
            </w:r>
          </w:p>
        </w:tc>
        <w:tc>
          <w:tcPr>
            <w:tcW w:w="2078" w:type="dxa"/>
            <w:vAlign w:val="center"/>
          </w:tcPr>
          <w:p w14:paraId="7CDB391D" w14:textId="77777777" w:rsidR="00265235" w:rsidRPr="00326F89" w:rsidRDefault="00265235" w:rsidP="00265235">
            <w:pPr>
              <w:jc w:val="center"/>
              <w:rPr>
                <w:rFonts w:cs="Times New Roman"/>
              </w:rPr>
            </w:pPr>
            <w:r>
              <w:rPr>
                <w:rFonts w:cs="Times New Roman"/>
              </w:rPr>
              <w:t>$9,810.02</w:t>
            </w:r>
          </w:p>
        </w:tc>
      </w:tr>
      <w:tr w:rsidR="00265235" w14:paraId="0F1A3488" w14:textId="77777777" w:rsidTr="00265235">
        <w:trPr>
          <w:trHeight w:val="863"/>
        </w:trPr>
        <w:tc>
          <w:tcPr>
            <w:tcW w:w="3230" w:type="dxa"/>
            <w:vAlign w:val="center"/>
          </w:tcPr>
          <w:p w14:paraId="6D084E67"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72B4BA74" w14:textId="77777777" w:rsidR="00265235" w:rsidRDefault="00265235" w:rsidP="00265235">
            <w:pPr>
              <w:jc w:val="center"/>
              <w:rPr>
                <w:rFonts w:cs="Times New Roman"/>
              </w:rPr>
            </w:pPr>
            <w:r>
              <w:rPr>
                <w:rFonts w:cs="Times New Roman"/>
              </w:rPr>
              <w:t>Legal Fees</w:t>
            </w:r>
          </w:p>
        </w:tc>
        <w:tc>
          <w:tcPr>
            <w:tcW w:w="2379" w:type="dxa"/>
            <w:vAlign w:val="center"/>
          </w:tcPr>
          <w:p w14:paraId="1A61F53F" w14:textId="77777777" w:rsidR="00265235" w:rsidRPr="00326F89" w:rsidRDefault="00265235" w:rsidP="00265235">
            <w:pPr>
              <w:jc w:val="center"/>
              <w:rPr>
                <w:rFonts w:cs="Times New Roman"/>
              </w:rPr>
            </w:pPr>
            <w:proofErr w:type="spellStart"/>
            <w:r>
              <w:rPr>
                <w:rFonts w:cs="Times New Roman"/>
              </w:rPr>
              <w:t>Vistra</w:t>
            </w:r>
            <w:proofErr w:type="spellEnd"/>
          </w:p>
        </w:tc>
        <w:tc>
          <w:tcPr>
            <w:tcW w:w="2078" w:type="dxa"/>
            <w:vAlign w:val="center"/>
          </w:tcPr>
          <w:p w14:paraId="3B0A242A" w14:textId="77777777" w:rsidR="00265235" w:rsidRPr="00326F89" w:rsidRDefault="00265235" w:rsidP="00265235">
            <w:pPr>
              <w:jc w:val="center"/>
              <w:rPr>
                <w:rFonts w:cs="Times New Roman"/>
              </w:rPr>
            </w:pPr>
            <w:r>
              <w:rPr>
                <w:rFonts w:cs="Times New Roman"/>
              </w:rPr>
              <w:t>$3,342.88</w:t>
            </w:r>
          </w:p>
        </w:tc>
      </w:tr>
      <w:tr w:rsidR="00265235" w14:paraId="02313BDC" w14:textId="77777777" w:rsidTr="00265235">
        <w:trPr>
          <w:trHeight w:val="863"/>
        </w:trPr>
        <w:tc>
          <w:tcPr>
            <w:tcW w:w="3230" w:type="dxa"/>
            <w:vAlign w:val="center"/>
          </w:tcPr>
          <w:p w14:paraId="7B5DEDA4"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5D729B2C" w14:textId="77777777" w:rsidR="00265235" w:rsidRDefault="00265235" w:rsidP="00265235">
            <w:pPr>
              <w:jc w:val="center"/>
              <w:rPr>
                <w:rFonts w:cs="Times New Roman"/>
              </w:rPr>
            </w:pPr>
            <w:r>
              <w:rPr>
                <w:rFonts w:cs="Times New Roman"/>
              </w:rPr>
              <w:t>Legal Fees</w:t>
            </w:r>
          </w:p>
        </w:tc>
        <w:tc>
          <w:tcPr>
            <w:tcW w:w="2379" w:type="dxa"/>
            <w:vAlign w:val="center"/>
          </w:tcPr>
          <w:p w14:paraId="10B7C4B9" w14:textId="77777777" w:rsidR="00265235" w:rsidRPr="00326F89" w:rsidRDefault="00265235" w:rsidP="00265235">
            <w:pPr>
              <w:jc w:val="center"/>
              <w:rPr>
                <w:rFonts w:cs="Times New Roman"/>
              </w:rPr>
            </w:pPr>
            <w:r>
              <w:rPr>
                <w:rFonts w:cs="Times New Roman"/>
              </w:rPr>
              <w:t>Baker McKenzie</w:t>
            </w:r>
          </w:p>
        </w:tc>
        <w:tc>
          <w:tcPr>
            <w:tcW w:w="2078" w:type="dxa"/>
            <w:vAlign w:val="center"/>
          </w:tcPr>
          <w:p w14:paraId="7502A999" w14:textId="77777777" w:rsidR="00265235" w:rsidRPr="00326F89" w:rsidRDefault="00265235" w:rsidP="00265235">
            <w:pPr>
              <w:jc w:val="center"/>
              <w:rPr>
                <w:rFonts w:cs="Times New Roman"/>
              </w:rPr>
            </w:pPr>
            <w:r>
              <w:rPr>
                <w:rFonts w:cs="Times New Roman"/>
              </w:rPr>
              <w:t>$1,854.47</w:t>
            </w:r>
          </w:p>
        </w:tc>
      </w:tr>
      <w:tr w:rsidR="00265235" w14:paraId="26450F85" w14:textId="77777777" w:rsidTr="00265235">
        <w:trPr>
          <w:trHeight w:val="863"/>
        </w:trPr>
        <w:tc>
          <w:tcPr>
            <w:tcW w:w="3230" w:type="dxa"/>
            <w:vAlign w:val="center"/>
          </w:tcPr>
          <w:p w14:paraId="35D22257"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597C3F05" w14:textId="77777777" w:rsidR="00265235" w:rsidRDefault="00265235" w:rsidP="00265235">
            <w:pPr>
              <w:jc w:val="center"/>
              <w:rPr>
                <w:rFonts w:cs="Times New Roman"/>
              </w:rPr>
            </w:pPr>
            <w:r>
              <w:rPr>
                <w:rFonts w:cs="Times New Roman"/>
              </w:rPr>
              <w:t>Legal Fees</w:t>
            </w:r>
          </w:p>
        </w:tc>
        <w:tc>
          <w:tcPr>
            <w:tcW w:w="2379" w:type="dxa"/>
            <w:vAlign w:val="center"/>
          </w:tcPr>
          <w:p w14:paraId="0E8A8460" w14:textId="77777777" w:rsidR="00265235" w:rsidRPr="00326F89" w:rsidRDefault="00265235" w:rsidP="00265235">
            <w:pPr>
              <w:jc w:val="center"/>
              <w:rPr>
                <w:rFonts w:cs="Times New Roman"/>
              </w:rPr>
            </w:pPr>
            <w:r>
              <w:rPr>
                <w:rFonts w:cs="Times New Roman"/>
              </w:rPr>
              <w:t>Kim &amp; Chang</w:t>
            </w:r>
          </w:p>
        </w:tc>
        <w:tc>
          <w:tcPr>
            <w:tcW w:w="2078" w:type="dxa"/>
            <w:vAlign w:val="center"/>
          </w:tcPr>
          <w:p w14:paraId="73051D61" w14:textId="77777777" w:rsidR="00265235" w:rsidRPr="00326F89" w:rsidRDefault="00265235" w:rsidP="00265235">
            <w:pPr>
              <w:jc w:val="center"/>
              <w:rPr>
                <w:rFonts w:cs="Times New Roman"/>
              </w:rPr>
            </w:pPr>
            <w:r>
              <w:rPr>
                <w:rFonts w:cs="Times New Roman"/>
              </w:rPr>
              <w:t>$88.70</w:t>
            </w:r>
          </w:p>
        </w:tc>
      </w:tr>
      <w:tr w:rsidR="00265235" w14:paraId="3712D245" w14:textId="77777777" w:rsidTr="00265235">
        <w:trPr>
          <w:trHeight w:val="863"/>
        </w:trPr>
        <w:tc>
          <w:tcPr>
            <w:tcW w:w="3230" w:type="dxa"/>
            <w:vAlign w:val="center"/>
          </w:tcPr>
          <w:p w14:paraId="42712FC4"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0B4252DD" w14:textId="77777777" w:rsidR="00265235" w:rsidRDefault="00265235" w:rsidP="00265235">
            <w:pPr>
              <w:jc w:val="center"/>
              <w:rPr>
                <w:rFonts w:cs="Times New Roman"/>
              </w:rPr>
            </w:pPr>
            <w:r>
              <w:rPr>
                <w:rFonts w:cs="Times New Roman"/>
              </w:rPr>
              <w:t>Legal Fees</w:t>
            </w:r>
          </w:p>
        </w:tc>
        <w:tc>
          <w:tcPr>
            <w:tcW w:w="2379" w:type="dxa"/>
            <w:vAlign w:val="center"/>
          </w:tcPr>
          <w:p w14:paraId="0A71A7E7" w14:textId="77777777" w:rsidR="00265235" w:rsidRPr="00326F89" w:rsidRDefault="00265235" w:rsidP="00265235">
            <w:pPr>
              <w:jc w:val="center"/>
              <w:rPr>
                <w:rFonts w:cs="Times New Roman"/>
              </w:rPr>
            </w:pPr>
            <w:proofErr w:type="spellStart"/>
            <w:r>
              <w:rPr>
                <w:rFonts w:cs="Times New Roman"/>
              </w:rPr>
              <w:t>Stikeman</w:t>
            </w:r>
            <w:proofErr w:type="spellEnd"/>
            <w:r>
              <w:rPr>
                <w:rFonts w:cs="Times New Roman"/>
              </w:rPr>
              <w:t xml:space="preserve"> Elliot</w:t>
            </w:r>
          </w:p>
        </w:tc>
        <w:tc>
          <w:tcPr>
            <w:tcW w:w="2078" w:type="dxa"/>
            <w:vAlign w:val="center"/>
          </w:tcPr>
          <w:p w14:paraId="45430490" w14:textId="41FBFA64" w:rsidR="00265235" w:rsidRPr="00326F89" w:rsidRDefault="00265235" w:rsidP="00265235">
            <w:pPr>
              <w:jc w:val="center"/>
              <w:rPr>
                <w:rFonts w:cs="Times New Roman"/>
              </w:rPr>
            </w:pPr>
            <w:r>
              <w:rPr>
                <w:rFonts w:cs="Times New Roman"/>
              </w:rPr>
              <w:t>$480.49</w:t>
            </w:r>
            <w:bookmarkStart w:id="0" w:name="_GoBack"/>
            <w:bookmarkEnd w:id="0"/>
          </w:p>
        </w:tc>
      </w:tr>
      <w:tr w:rsidR="00265235" w14:paraId="60BE8EF1" w14:textId="77777777" w:rsidTr="00265235">
        <w:trPr>
          <w:trHeight w:val="863"/>
        </w:trPr>
        <w:tc>
          <w:tcPr>
            <w:tcW w:w="3230" w:type="dxa"/>
            <w:vAlign w:val="center"/>
          </w:tcPr>
          <w:p w14:paraId="68195F41"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306837AD" w14:textId="77777777" w:rsidR="00265235" w:rsidRDefault="00265235" w:rsidP="00265235">
            <w:pPr>
              <w:jc w:val="center"/>
              <w:rPr>
                <w:rFonts w:cs="Times New Roman"/>
              </w:rPr>
            </w:pPr>
            <w:r>
              <w:rPr>
                <w:rFonts w:cs="Times New Roman"/>
              </w:rPr>
              <w:t>Legal Fees</w:t>
            </w:r>
          </w:p>
        </w:tc>
        <w:tc>
          <w:tcPr>
            <w:tcW w:w="2379" w:type="dxa"/>
            <w:vAlign w:val="center"/>
          </w:tcPr>
          <w:p w14:paraId="292CB361" w14:textId="77777777" w:rsidR="00265235" w:rsidRPr="00326F89" w:rsidRDefault="00265235" w:rsidP="00265235">
            <w:pPr>
              <w:jc w:val="center"/>
              <w:rPr>
                <w:rFonts w:cs="Times New Roman"/>
              </w:rPr>
            </w:pPr>
            <w:r>
              <w:rPr>
                <w:rFonts w:cs="Times New Roman"/>
              </w:rPr>
              <w:t>Mori Hamada &amp; Matsumoto</w:t>
            </w:r>
          </w:p>
        </w:tc>
        <w:tc>
          <w:tcPr>
            <w:tcW w:w="2078" w:type="dxa"/>
            <w:vAlign w:val="center"/>
          </w:tcPr>
          <w:p w14:paraId="32EA4750" w14:textId="77777777" w:rsidR="00265235" w:rsidRPr="00326F89" w:rsidRDefault="00265235" w:rsidP="00265235">
            <w:pPr>
              <w:jc w:val="center"/>
              <w:rPr>
                <w:rFonts w:cs="Times New Roman"/>
              </w:rPr>
            </w:pPr>
            <w:r>
              <w:rPr>
                <w:rFonts w:cs="Times New Roman"/>
              </w:rPr>
              <w:t>$1,092.43</w:t>
            </w:r>
          </w:p>
        </w:tc>
      </w:tr>
      <w:tr w:rsidR="00265235" w14:paraId="11AF5C89" w14:textId="77777777" w:rsidTr="00265235">
        <w:trPr>
          <w:trHeight w:val="863"/>
        </w:trPr>
        <w:tc>
          <w:tcPr>
            <w:tcW w:w="3230" w:type="dxa"/>
            <w:vAlign w:val="center"/>
          </w:tcPr>
          <w:p w14:paraId="097EAD50" w14:textId="77777777" w:rsidR="00265235" w:rsidRDefault="00265235" w:rsidP="00265235">
            <w:pPr>
              <w:jc w:val="center"/>
              <w:rPr>
                <w:rFonts w:cs="Times New Roman"/>
              </w:rPr>
            </w:pPr>
            <w:r>
              <w:rPr>
                <w:rFonts w:cs="Times New Roman"/>
              </w:rPr>
              <w:t>AlpInvest Co-Investment Fund (Onshore) VII, L.P.</w:t>
            </w:r>
          </w:p>
        </w:tc>
        <w:tc>
          <w:tcPr>
            <w:tcW w:w="1663" w:type="dxa"/>
            <w:vAlign w:val="center"/>
          </w:tcPr>
          <w:p w14:paraId="5BCB8FE8" w14:textId="77777777" w:rsidR="00265235" w:rsidRDefault="00265235" w:rsidP="00265235">
            <w:pPr>
              <w:jc w:val="center"/>
              <w:rPr>
                <w:rFonts w:cs="Times New Roman"/>
              </w:rPr>
            </w:pPr>
            <w:r>
              <w:rPr>
                <w:rFonts w:cs="Times New Roman"/>
              </w:rPr>
              <w:t>Printing</w:t>
            </w:r>
          </w:p>
        </w:tc>
        <w:tc>
          <w:tcPr>
            <w:tcW w:w="2379" w:type="dxa"/>
            <w:vAlign w:val="center"/>
          </w:tcPr>
          <w:p w14:paraId="2B5C99D0" w14:textId="77777777" w:rsidR="00265235" w:rsidRDefault="00265235" w:rsidP="00265235">
            <w:pPr>
              <w:jc w:val="center"/>
              <w:rPr>
                <w:rFonts w:cs="Times New Roman"/>
              </w:rPr>
            </w:pPr>
            <w:proofErr w:type="spellStart"/>
            <w:r>
              <w:rPr>
                <w:rFonts w:cs="Times New Roman"/>
              </w:rPr>
              <w:t>Netsquare</w:t>
            </w:r>
            <w:proofErr w:type="spellEnd"/>
          </w:p>
        </w:tc>
        <w:tc>
          <w:tcPr>
            <w:tcW w:w="2078" w:type="dxa"/>
            <w:vAlign w:val="center"/>
          </w:tcPr>
          <w:p w14:paraId="1A8594EF" w14:textId="77777777" w:rsidR="00265235" w:rsidRDefault="00265235" w:rsidP="00265235">
            <w:pPr>
              <w:jc w:val="center"/>
              <w:rPr>
                <w:rFonts w:cs="Times New Roman"/>
              </w:rPr>
            </w:pPr>
            <w:r>
              <w:rPr>
                <w:rFonts w:cs="Times New Roman"/>
              </w:rPr>
              <w:t>$199.09</w:t>
            </w:r>
          </w:p>
        </w:tc>
      </w:tr>
    </w:tbl>
    <w:p w14:paraId="0F7DA0BB" w14:textId="77777777" w:rsidR="00326F89" w:rsidRPr="00326F89" w:rsidRDefault="00326F89" w:rsidP="00B471B1">
      <w:pPr>
        <w:rPr>
          <w:rFonts w:ascii="Times New Roman" w:hAnsi="Times New Roman" w:cs="Times New Roman"/>
        </w:rPr>
      </w:pPr>
    </w:p>
    <w:sectPr w:rsidR="00326F89" w:rsidRPr="00326F89" w:rsidSect="00F002DC">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5179" w14:textId="77777777" w:rsidR="00326F89" w:rsidRDefault="00326F89" w:rsidP="00326F89">
      <w:pPr>
        <w:spacing w:after="0" w:line="240" w:lineRule="auto"/>
      </w:pPr>
      <w:r>
        <w:separator/>
      </w:r>
    </w:p>
  </w:endnote>
  <w:endnote w:type="continuationSeparator" w:id="0">
    <w:p w14:paraId="1A07A943" w14:textId="77777777" w:rsidR="00326F89" w:rsidRDefault="00326F89" w:rsidP="0032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184A" w14:textId="77777777" w:rsidR="00326F89" w:rsidRPr="00326F89" w:rsidRDefault="00326F89">
    <w:pPr>
      <w:pStyle w:val="Footer"/>
      <w:rPr>
        <w:i/>
        <w:sz w:val="16"/>
        <w:szCs w:val="16"/>
      </w:rPr>
    </w:pPr>
    <w:r w:rsidRPr="00326F89">
      <w:rPr>
        <w:i/>
        <w:sz w:val="16"/>
        <w:szCs w:val="16"/>
      </w:rPr>
      <w:t>Note that no offer of interest in any Carlyle investment fund is being made hereby.  A private offering of interests will be made, if at all, only pursuant to a confidential private placement memorandum and subscription documents of any such fund, which will be furnished only to qualified investors on a confidential basis.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BD8CF" w14:textId="77777777" w:rsidR="00326F89" w:rsidRDefault="00326F89" w:rsidP="00326F89">
      <w:pPr>
        <w:spacing w:after="0" w:line="240" w:lineRule="auto"/>
      </w:pPr>
      <w:r>
        <w:separator/>
      </w:r>
    </w:p>
  </w:footnote>
  <w:footnote w:type="continuationSeparator" w:id="0">
    <w:p w14:paraId="7C487630" w14:textId="77777777" w:rsidR="00326F89" w:rsidRDefault="00326F89" w:rsidP="00326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89"/>
    <w:rsid w:val="00003C73"/>
    <w:rsid w:val="0001541D"/>
    <w:rsid w:val="00017410"/>
    <w:rsid w:val="00017976"/>
    <w:rsid w:val="00023F74"/>
    <w:rsid w:val="00024769"/>
    <w:rsid w:val="00032179"/>
    <w:rsid w:val="00040D8A"/>
    <w:rsid w:val="00052C7E"/>
    <w:rsid w:val="0005658E"/>
    <w:rsid w:val="00060E40"/>
    <w:rsid w:val="000634E3"/>
    <w:rsid w:val="00065E06"/>
    <w:rsid w:val="000717CA"/>
    <w:rsid w:val="000823B8"/>
    <w:rsid w:val="00083C33"/>
    <w:rsid w:val="00090CF1"/>
    <w:rsid w:val="00093561"/>
    <w:rsid w:val="000A0C64"/>
    <w:rsid w:val="000A6F84"/>
    <w:rsid w:val="000B0247"/>
    <w:rsid w:val="000B069B"/>
    <w:rsid w:val="000B2C10"/>
    <w:rsid w:val="000B45B9"/>
    <w:rsid w:val="000D0144"/>
    <w:rsid w:val="000D0ECF"/>
    <w:rsid w:val="000D3239"/>
    <w:rsid w:val="000E3E75"/>
    <w:rsid w:val="000E7C24"/>
    <w:rsid w:val="000F290C"/>
    <w:rsid w:val="000F7FFD"/>
    <w:rsid w:val="00113DCC"/>
    <w:rsid w:val="0011498E"/>
    <w:rsid w:val="00117315"/>
    <w:rsid w:val="0014035C"/>
    <w:rsid w:val="0014067F"/>
    <w:rsid w:val="001424DD"/>
    <w:rsid w:val="001557A7"/>
    <w:rsid w:val="0015702B"/>
    <w:rsid w:val="001777D0"/>
    <w:rsid w:val="00181FEA"/>
    <w:rsid w:val="00195EA4"/>
    <w:rsid w:val="001A35FE"/>
    <w:rsid w:val="001A755C"/>
    <w:rsid w:val="001B7B0B"/>
    <w:rsid w:val="001B7F87"/>
    <w:rsid w:val="001C36F5"/>
    <w:rsid w:val="001C5A77"/>
    <w:rsid w:val="001C68B7"/>
    <w:rsid w:val="001C6BA4"/>
    <w:rsid w:val="001D2A2E"/>
    <w:rsid w:val="001D3ED9"/>
    <w:rsid w:val="001D5C2E"/>
    <w:rsid w:val="00200417"/>
    <w:rsid w:val="002013F8"/>
    <w:rsid w:val="00204848"/>
    <w:rsid w:val="00207438"/>
    <w:rsid w:val="00213B39"/>
    <w:rsid w:val="0021618F"/>
    <w:rsid w:val="00220F6A"/>
    <w:rsid w:val="00223760"/>
    <w:rsid w:val="002356A6"/>
    <w:rsid w:val="00237AE2"/>
    <w:rsid w:val="00242629"/>
    <w:rsid w:val="00244A0F"/>
    <w:rsid w:val="00244CD6"/>
    <w:rsid w:val="002533CE"/>
    <w:rsid w:val="00264244"/>
    <w:rsid w:val="00265235"/>
    <w:rsid w:val="00274B0B"/>
    <w:rsid w:val="00287F94"/>
    <w:rsid w:val="00295253"/>
    <w:rsid w:val="002A31AC"/>
    <w:rsid w:val="002B0EFF"/>
    <w:rsid w:val="002C0088"/>
    <w:rsid w:val="002C0D9E"/>
    <w:rsid w:val="002C3A5E"/>
    <w:rsid w:val="002C3F75"/>
    <w:rsid w:val="002D2403"/>
    <w:rsid w:val="002E0D56"/>
    <w:rsid w:val="002F27E9"/>
    <w:rsid w:val="002F3D11"/>
    <w:rsid w:val="002F60BA"/>
    <w:rsid w:val="0030146E"/>
    <w:rsid w:val="00301D7D"/>
    <w:rsid w:val="0030276C"/>
    <w:rsid w:val="00313220"/>
    <w:rsid w:val="00326F89"/>
    <w:rsid w:val="00331E4C"/>
    <w:rsid w:val="00333704"/>
    <w:rsid w:val="00335B95"/>
    <w:rsid w:val="0033610A"/>
    <w:rsid w:val="00342698"/>
    <w:rsid w:val="0035747E"/>
    <w:rsid w:val="00360E54"/>
    <w:rsid w:val="00371BCF"/>
    <w:rsid w:val="0037404E"/>
    <w:rsid w:val="00381F19"/>
    <w:rsid w:val="0039457F"/>
    <w:rsid w:val="003A0778"/>
    <w:rsid w:val="003B3206"/>
    <w:rsid w:val="003B3359"/>
    <w:rsid w:val="003B416D"/>
    <w:rsid w:val="003D42F3"/>
    <w:rsid w:val="003D5E1E"/>
    <w:rsid w:val="003D6CE1"/>
    <w:rsid w:val="003F471D"/>
    <w:rsid w:val="003F4F77"/>
    <w:rsid w:val="003F5067"/>
    <w:rsid w:val="003F5FC0"/>
    <w:rsid w:val="003F632C"/>
    <w:rsid w:val="0040206A"/>
    <w:rsid w:val="004146B6"/>
    <w:rsid w:val="00417EBB"/>
    <w:rsid w:val="00437E38"/>
    <w:rsid w:val="004463A1"/>
    <w:rsid w:val="00455EC3"/>
    <w:rsid w:val="00461F8A"/>
    <w:rsid w:val="0046580E"/>
    <w:rsid w:val="00470604"/>
    <w:rsid w:val="004731EB"/>
    <w:rsid w:val="00486894"/>
    <w:rsid w:val="004B7FCD"/>
    <w:rsid w:val="004C032D"/>
    <w:rsid w:val="004E6DBC"/>
    <w:rsid w:val="004F103C"/>
    <w:rsid w:val="004F1494"/>
    <w:rsid w:val="00503A66"/>
    <w:rsid w:val="005060FE"/>
    <w:rsid w:val="00521706"/>
    <w:rsid w:val="005220B3"/>
    <w:rsid w:val="00522EAD"/>
    <w:rsid w:val="0052721D"/>
    <w:rsid w:val="0053076A"/>
    <w:rsid w:val="0053245C"/>
    <w:rsid w:val="0053250E"/>
    <w:rsid w:val="0054063A"/>
    <w:rsid w:val="00551207"/>
    <w:rsid w:val="00553C49"/>
    <w:rsid w:val="00575885"/>
    <w:rsid w:val="00585623"/>
    <w:rsid w:val="005902DF"/>
    <w:rsid w:val="00590995"/>
    <w:rsid w:val="005911A7"/>
    <w:rsid w:val="005A6086"/>
    <w:rsid w:val="005B10BF"/>
    <w:rsid w:val="005B195D"/>
    <w:rsid w:val="005B2AF4"/>
    <w:rsid w:val="005C13C2"/>
    <w:rsid w:val="005C42CF"/>
    <w:rsid w:val="005C4BB7"/>
    <w:rsid w:val="005C4E4D"/>
    <w:rsid w:val="005C6091"/>
    <w:rsid w:val="005D187C"/>
    <w:rsid w:val="005D1CF2"/>
    <w:rsid w:val="005F25F9"/>
    <w:rsid w:val="005F3A44"/>
    <w:rsid w:val="00615E0F"/>
    <w:rsid w:val="00617863"/>
    <w:rsid w:val="00620803"/>
    <w:rsid w:val="0062305A"/>
    <w:rsid w:val="00624FA0"/>
    <w:rsid w:val="006424E6"/>
    <w:rsid w:val="00650806"/>
    <w:rsid w:val="00651ECD"/>
    <w:rsid w:val="00657A82"/>
    <w:rsid w:val="00660685"/>
    <w:rsid w:val="00662586"/>
    <w:rsid w:val="0066280C"/>
    <w:rsid w:val="00662BF7"/>
    <w:rsid w:val="00670713"/>
    <w:rsid w:val="006727B8"/>
    <w:rsid w:val="006748BE"/>
    <w:rsid w:val="00675857"/>
    <w:rsid w:val="00680D41"/>
    <w:rsid w:val="00681035"/>
    <w:rsid w:val="00694499"/>
    <w:rsid w:val="00697659"/>
    <w:rsid w:val="006A1C4F"/>
    <w:rsid w:val="006A22E6"/>
    <w:rsid w:val="006A368B"/>
    <w:rsid w:val="006A5A18"/>
    <w:rsid w:val="006A7C56"/>
    <w:rsid w:val="006B1514"/>
    <w:rsid w:val="006B3E53"/>
    <w:rsid w:val="006C0F98"/>
    <w:rsid w:val="006C2133"/>
    <w:rsid w:val="006C6F47"/>
    <w:rsid w:val="006E438D"/>
    <w:rsid w:val="006F19F1"/>
    <w:rsid w:val="006F1C1C"/>
    <w:rsid w:val="006F430D"/>
    <w:rsid w:val="006F546F"/>
    <w:rsid w:val="00710A37"/>
    <w:rsid w:val="00724873"/>
    <w:rsid w:val="00736A6E"/>
    <w:rsid w:val="00741B3D"/>
    <w:rsid w:val="007452F2"/>
    <w:rsid w:val="00747DE5"/>
    <w:rsid w:val="007513E6"/>
    <w:rsid w:val="0075217D"/>
    <w:rsid w:val="00777A9B"/>
    <w:rsid w:val="0078103D"/>
    <w:rsid w:val="00785889"/>
    <w:rsid w:val="007877C0"/>
    <w:rsid w:val="007A04E0"/>
    <w:rsid w:val="007A1465"/>
    <w:rsid w:val="007B13E4"/>
    <w:rsid w:val="007B4640"/>
    <w:rsid w:val="007C264C"/>
    <w:rsid w:val="007C70D8"/>
    <w:rsid w:val="007C7E74"/>
    <w:rsid w:val="007D38A2"/>
    <w:rsid w:val="007E6B88"/>
    <w:rsid w:val="007F2FC8"/>
    <w:rsid w:val="007F7E1C"/>
    <w:rsid w:val="00804758"/>
    <w:rsid w:val="00806EF4"/>
    <w:rsid w:val="0080787B"/>
    <w:rsid w:val="008163BE"/>
    <w:rsid w:val="00833715"/>
    <w:rsid w:val="0084638E"/>
    <w:rsid w:val="0084705E"/>
    <w:rsid w:val="00872F3F"/>
    <w:rsid w:val="008818C7"/>
    <w:rsid w:val="0089096E"/>
    <w:rsid w:val="00890E4A"/>
    <w:rsid w:val="0089294E"/>
    <w:rsid w:val="008A69D7"/>
    <w:rsid w:val="008B248B"/>
    <w:rsid w:val="008C415C"/>
    <w:rsid w:val="008D0BA9"/>
    <w:rsid w:val="008D2290"/>
    <w:rsid w:val="008D4F4D"/>
    <w:rsid w:val="008D54C6"/>
    <w:rsid w:val="008E0005"/>
    <w:rsid w:val="008E0D55"/>
    <w:rsid w:val="008E1965"/>
    <w:rsid w:val="008E55CB"/>
    <w:rsid w:val="008E7BC7"/>
    <w:rsid w:val="008F6B1E"/>
    <w:rsid w:val="00905727"/>
    <w:rsid w:val="00906686"/>
    <w:rsid w:val="00914118"/>
    <w:rsid w:val="00916EF4"/>
    <w:rsid w:val="00925BB5"/>
    <w:rsid w:val="00927CB8"/>
    <w:rsid w:val="00940A91"/>
    <w:rsid w:val="00944740"/>
    <w:rsid w:val="00944743"/>
    <w:rsid w:val="009756A9"/>
    <w:rsid w:val="009803E0"/>
    <w:rsid w:val="00981F90"/>
    <w:rsid w:val="00982DFA"/>
    <w:rsid w:val="00993C17"/>
    <w:rsid w:val="009A148D"/>
    <w:rsid w:val="009A2701"/>
    <w:rsid w:val="009A3EFE"/>
    <w:rsid w:val="009B2102"/>
    <w:rsid w:val="009C00ED"/>
    <w:rsid w:val="009C215F"/>
    <w:rsid w:val="009D47A3"/>
    <w:rsid w:val="009E7015"/>
    <w:rsid w:val="009F068A"/>
    <w:rsid w:val="009F0D90"/>
    <w:rsid w:val="009F1599"/>
    <w:rsid w:val="009F50C2"/>
    <w:rsid w:val="00A0053A"/>
    <w:rsid w:val="00A03B6D"/>
    <w:rsid w:val="00A147B7"/>
    <w:rsid w:val="00A16B55"/>
    <w:rsid w:val="00A24BCD"/>
    <w:rsid w:val="00A443B8"/>
    <w:rsid w:val="00A57A2C"/>
    <w:rsid w:val="00A57FE8"/>
    <w:rsid w:val="00A62E96"/>
    <w:rsid w:val="00A64DA5"/>
    <w:rsid w:val="00A737B8"/>
    <w:rsid w:val="00A7397F"/>
    <w:rsid w:val="00AB0F9E"/>
    <w:rsid w:val="00AB431A"/>
    <w:rsid w:val="00AC1C98"/>
    <w:rsid w:val="00AD3B04"/>
    <w:rsid w:val="00AD66D7"/>
    <w:rsid w:val="00AE0CAE"/>
    <w:rsid w:val="00AF1129"/>
    <w:rsid w:val="00AF27F5"/>
    <w:rsid w:val="00AF2EC4"/>
    <w:rsid w:val="00B01CD4"/>
    <w:rsid w:val="00B02695"/>
    <w:rsid w:val="00B14C5E"/>
    <w:rsid w:val="00B2341E"/>
    <w:rsid w:val="00B24DF5"/>
    <w:rsid w:val="00B278E1"/>
    <w:rsid w:val="00B37F1A"/>
    <w:rsid w:val="00B43F13"/>
    <w:rsid w:val="00B471B1"/>
    <w:rsid w:val="00B5575C"/>
    <w:rsid w:val="00B56C94"/>
    <w:rsid w:val="00B612E0"/>
    <w:rsid w:val="00B81ED1"/>
    <w:rsid w:val="00B91C4B"/>
    <w:rsid w:val="00B95251"/>
    <w:rsid w:val="00B95A4D"/>
    <w:rsid w:val="00B9640D"/>
    <w:rsid w:val="00BA56D2"/>
    <w:rsid w:val="00BA6B58"/>
    <w:rsid w:val="00BB0A1C"/>
    <w:rsid w:val="00BB1765"/>
    <w:rsid w:val="00BB7042"/>
    <w:rsid w:val="00BC3D0B"/>
    <w:rsid w:val="00BC7897"/>
    <w:rsid w:val="00BD16E8"/>
    <w:rsid w:val="00BE220E"/>
    <w:rsid w:val="00BF3808"/>
    <w:rsid w:val="00C10477"/>
    <w:rsid w:val="00C15CF1"/>
    <w:rsid w:val="00C17CBB"/>
    <w:rsid w:val="00C21816"/>
    <w:rsid w:val="00C233BB"/>
    <w:rsid w:val="00C24225"/>
    <w:rsid w:val="00C31EC4"/>
    <w:rsid w:val="00C42D4C"/>
    <w:rsid w:val="00C4345E"/>
    <w:rsid w:val="00C44113"/>
    <w:rsid w:val="00C46793"/>
    <w:rsid w:val="00C50CE4"/>
    <w:rsid w:val="00C5128B"/>
    <w:rsid w:val="00C65BC7"/>
    <w:rsid w:val="00C7186F"/>
    <w:rsid w:val="00C73724"/>
    <w:rsid w:val="00C77375"/>
    <w:rsid w:val="00C777A1"/>
    <w:rsid w:val="00C82B0C"/>
    <w:rsid w:val="00C93114"/>
    <w:rsid w:val="00C966F6"/>
    <w:rsid w:val="00CA4B41"/>
    <w:rsid w:val="00CB047D"/>
    <w:rsid w:val="00CB25CF"/>
    <w:rsid w:val="00CB2BC8"/>
    <w:rsid w:val="00CC16A3"/>
    <w:rsid w:val="00CC62CA"/>
    <w:rsid w:val="00CC75D8"/>
    <w:rsid w:val="00CC7923"/>
    <w:rsid w:val="00CD49B2"/>
    <w:rsid w:val="00CF05A1"/>
    <w:rsid w:val="00CF27A8"/>
    <w:rsid w:val="00D1104A"/>
    <w:rsid w:val="00D2415B"/>
    <w:rsid w:val="00D249EA"/>
    <w:rsid w:val="00D25661"/>
    <w:rsid w:val="00D31359"/>
    <w:rsid w:val="00D44821"/>
    <w:rsid w:val="00D4511A"/>
    <w:rsid w:val="00D4777B"/>
    <w:rsid w:val="00D537B9"/>
    <w:rsid w:val="00D56FBC"/>
    <w:rsid w:val="00D576C8"/>
    <w:rsid w:val="00D60705"/>
    <w:rsid w:val="00D75446"/>
    <w:rsid w:val="00D8008C"/>
    <w:rsid w:val="00D8300E"/>
    <w:rsid w:val="00D83E1B"/>
    <w:rsid w:val="00D90048"/>
    <w:rsid w:val="00D935EF"/>
    <w:rsid w:val="00DA5E6A"/>
    <w:rsid w:val="00DA7877"/>
    <w:rsid w:val="00DB1379"/>
    <w:rsid w:val="00DB53FF"/>
    <w:rsid w:val="00DB59BB"/>
    <w:rsid w:val="00DB748E"/>
    <w:rsid w:val="00DC425B"/>
    <w:rsid w:val="00DC6B57"/>
    <w:rsid w:val="00DD0266"/>
    <w:rsid w:val="00DD20CF"/>
    <w:rsid w:val="00DE56CB"/>
    <w:rsid w:val="00DE6A79"/>
    <w:rsid w:val="00DF4BD7"/>
    <w:rsid w:val="00DF6C42"/>
    <w:rsid w:val="00E200B4"/>
    <w:rsid w:val="00E21181"/>
    <w:rsid w:val="00E21641"/>
    <w:rsid w:val="00E2214A"/>
    <w:rsid w:val="00E226B1"/>
    <w:rsid w:val="00E344DC"/>
    <w:rsid w:val="00E37D4F"/>
    <w:rsid w:val="00E41FEE"/>
    <w:rsid w:val="00E518A1"/>
    <w:rsid w:val="00E54B79"/>
    <w:rsid w:val="00E60079"/>
    <w:rsid w:val="00E657CB"/>
    <w:rsid w:val="00E74511"/>
    <w:rsid w:val="00E7581F"/>
    <w:rsid w:val="00E76AA1"/>
    <w:rsid w:val="00E81892"/>
    <w:rsid w:val="00E84029"/>
    <w:rsid w:val="00EA31A9"/>
    <w:rsid w:val="00EB7666"/>
    <w:rsid w:val="00EC2E00"/>
    <w:rsid w:val="00EC40D0"/>
    <w:rsid w:val="00ED4309"/>
    <w:rsid w:val="00EE0047"/>
    <w:rsid w:val="00EE194C"/>
    <w:rsid w:val="00EE19F1"/>
    <w:rsid w:val="00EE4900"/>
    <w:rsid w:val="00EF13CD"/>
    <w:rsid w:val="00EF375C"/>
    <w:rsid w:val="00EF75BE"/>
    <w:rsid w:val="00F00165"/>
    <w:rsid w:val="00F002DC"/>
    <w:rsid w:val="00F01541"/>
    <w:rsid w:val="00F10412"/>
    <w:rsid w:val="00F129C3"/>
    <w:rsid w:val="00F169EC"/>
    <w:rsid w:val="00F17F60"/>
    <w:rsid w:val="00F325DE"/>
    <w:rsid w:val="00F327AE"/>
    <w:rsid w:val="00F35225"/>
    <w:rsid w:val="00F4074E"/>
    <w:rsid w:val="00F40F91"/>
    <w:rsid w:val="00F42361"/>
    <w:rsid w:val="00F55DC3"/>
    <w:rsid w:val="00F55DF8"/>
    <w:rsid w:val="00F6166A"/>
    <w:rsid w:val="00F6507F"/>
    <w:rsid w:val="00F76408"/>
    <w:rsid w:val="00F81773"/>
    <w:rsid w:val="00F843DA"/>
    <w:rsid w:val="00FA2728"/>
    <w:rsid w:val="00FA5118"/>
    <w:rsid w:val="00FB2D13"/>
    <w:rsid w:val="00FB614C"/>
    <w:rsid w:val="00FD141D"/>
    <w:rsid w:val="00FD26F5"/>
    <w:rsid w:val="00FE457C"/>
    <w:rsid w:val="00FF043A"/>
    <w:rsid w:val="00FF4675"/>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C584"/>
  <w15:docId w15:val="{AFB036D4-E586-45BF-8E63-E0B5860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89"/>
  </w:style>
  <w:style w:type="paragraph" w:styleId="Footer">
    <w:name w:val="footer"/>
    <w:basedOn w:val="Normal"/>
    <w:link w:val="FooterChar"/>
    <w:uiPriority w:val="99"/>
    <w:unhideWhenUsed/>
    <w:rsid w:val="0032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Pelgrift</dc:creator>
  <cp:lastModifiedBy>Elizabeth Pelgrift</cp:lastModifiedBy>
  <cp:revision>2</cp:revision>
  <cp:lastPrinted>2015-12-18T20:51:00Z</cp:lastPrinted>
  <dcterms:created xsi:type="dcterms:W3CDTF">2020-01-28T20:11:00Z</dcterms:created>
  <dcterms:modified xsi:type="dcterms:W3CDTF">2020-01-28T20:11:00Z</dcterms:modified>
</cp:coreProperties>
</file>